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54FAC9B2" w14:textId="77777777" w:rsid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17B1AFAF" w14:textId="5FF1A95A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3E5712">
        <w:rPr>
          <w:rFonts w:ascii="Arial" w:eastAsia="Times New Roman" w:hAnsi="Arial" w:cs="Arial"/>
          <w:b/>
          <w:sz w:val="18"/>
          <w:szCs w:val="32"/>
          <w:u w:val="single"/>
        </w:rPr>
        <w:t>EXTRATO DE CONTRATO</w:t>
      </w:r>
    </w:p>
    <w:p w14:paraId="16AD7A5C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183BCE3A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Processo:  nº 011/2025</w:t>
      </w:r>
    </w:p>
    <w:p w14:paraId="49634064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7FAA1471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Inexigibilidade: nº 004/2025</w:t>
      </w:r>
    </w:p>
    <w:p w14:paraId="3ADF2445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1D7F303A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Termo de Contrato: nº 004/2025</w:t>
      </w:r>
    </w:p>
    <w:p w14:paraId="3369EDA6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01CEC536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Objeto: Locação de imóvel para atender as necessidades da Secretaria Municipal de Agricultura, para sediar a EMATER do Município de Barra Longa/MG.</w:t>
      </w:r>
    </w:p>
    <w:p w14:paraId="74705C2A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158CB644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Contratante: Prefeitura Municipal de Barra Longa/MG;</w:t>
      </w:r>
    </w:p>
    <w:p w14:paraId="5239149C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72D89091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Contratada: Denise Freitas Ferreira Barreto, CPF nº 573.819.506-00;</w:t>
      </w:r>
    </w:p>
    <w:p w14:paraId="792EFA17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1A3D4875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Vigência: 15/01/2025 a 31/12/2025;</w:t>
      </w:r>
    </w:p>
    <w:p w14:paraId="3C116CF9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038E5657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Valor mensal: R$ 1.375,70 (mil trezentos e setenta e cinco reais setenta centavos);</w:t>
      </w:r>
    </w:p>
    <w:p w14:paraId="0692FED5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5046DFD5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Assinatura: 15/01/2025.</w:t>
      </w:r>
    </w:p>
    <w:p w14:paraId="4A05DFE5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5E6B3526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51E2CE4B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Barra Longa, 15 de janeiro de 2025.</w:t>
      </w:r>
    </w:p>
    <w:p w14:paraId="0510E4C6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74252504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500A0748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2BC646AD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</w:p>
    <w:p w14:paraId="70921570" w14:textId="77777777" w:rsidR="003E5712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Vitória Aparecida Martins Silva</w:t>
      </w:r>
    </w:p>
    <w:p w14:paraId="397B9013" w14:textId="2F4D6B8A" w:rsidR="00423374" w:rsidRPr="003E5712" w:rsidRDefault="003E5712" w:rsidP="003E5712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Cs/>
          <w:sz w:val="18"/>
          <w:szCs w:val="32"/>
        </w:rPr>
      </w:pPr>
      <w:r w:rsidRPr="003E5712">
        <w:rPr>
          <w:rFonts w:ascii="Arial" w:eastAsia="Times New Roman" w:hAnsi="Arial" w:cs="Arial"/>
          <w:bCs/>
          <w:sz w:val="18"/>
          <w:szCs w:val="32"/>
        </w:rPr>
        <w:t>Agente de Contratação</w:t>
      </w:r>
    </w:p>
    <w:sectPr w:rsidR="00423374" w:rsidRPr="003E5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3E5712"/>
    <w:rsid w:val="00423374"/>
    <w:rsid w:val="00561844"/>
    <w:rsid w:val="0058563F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2025-08-15T18:04:00Z</dcterms:created>
  <dcterms:modified xsi:type="dcterms:W3CDTF">2025-08-15T18:04:00Z</dcterms:modified>
</cp:coreProperties>
</file>